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12D31EA2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8</w:t>
      </w:r>
      <w:r w:rsidR="00CF4115">
        <w:rPr>
          <w:rFonts w:eastAsia="Times New Roman" w:cs="Arial"/>
          <w:color w:val="000000"/>
          <w:sz w:val="24"/>
          <w:szCs w:val="20"/>
          <w:lang w:val="en-GB"/>
        </w:rPr>
        <w:t>bis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R1-1</w:t>
      </w:r>
      <w:r w:rsidR="009D2775"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7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0</w:t>
      </w:r>
      <w:r w:rsidR="003A618F">
        <w:rPr>
          <w:rFonts w:eastAsia="Times New Roman" w:cs="Arial"/>
          <w:color w:val="000000"/>
          <w:sz w:val="24"/>
          <w:szCs w:val="20"/>
          <w:lang w:val="en-GB"/>
        </w:rPr>
        <w:t>5834</w:t>
      </w:r>
    </w:p>
    <w:p w14:paraId="2C67BAC6" w14:textId="6CFE954D" w:rsidR="00663ABE" w:rsidRPr="00663ABE" w:rsidRDefault="00CF4115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>Spokane, USA</w:t>
      </w:r>
      <w:r w:rsidR="00011798">
        <w:rPr>
          <w:rFonts w:ascii="Arial" w:hAnsi="Arial" w:cs="Arial"/>
          <w:b/>
          <w:color w:val="000000"/>
          <w:sz w:val="24"/>
          <w:szCs w:val="20"/>
          <w:lang w:val="en-GB"/>
        </w:rPr>
        <w:t>,</w:t>
      </w:r>
      <w:r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3rd - 7th April 2017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2AE6B410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663ABE">
        <w:rPr>
          <w:rFonts w:ascii="Arial" w:hAnsi="Arial" w:cs="Arial"/>
          <w:b/>
          <w:color w:val="000000"/>
          <w:sz w:val="24"/>
          <w:szCs w:val="20"/>
          <w:lang w:val="en-GB"/>
        </w:rPr>
        <w:t>8.</w:t>
      </w:r>
      <w:r w:rsidR="00F00C61">
        <w:rPr>
          <w:rFonts w:ascii="Arial" w:hAnsi="Arial" w:cs="Arial"/>
          <w:b/>
          <w:color w:val="000000"/>
          <w:sz w:val="24"/>
          <w:szCs w:val="20"/>
          <w:lang w:val="en-GB"/>
        </w:rPr>
        <w:t>1.3.3.2</w:t>
      </w:r>
    </w:p>
    <w:p w14:paraId="3EDB8261" w14:textId="3589BB84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FA139F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Discussion on </w:t>
      </w:r>
      <w:r w:rsidR="00F00C61">
        <w:rPr>
          <w:rFonts w:ascii="Arial" w:hAnsi="Arial" w:cs="Arial"/>
          <w:b/>
          <w:color w:val="000000"/>
          <w:sz w:val="24"/>
          <w:szCs w:val="20"/>
          <w:lang w:val="en-GB"/>
        </w:rPr>
        <w:t>HARQ</w:t>
      </w:r>
      <w:r w:rsidR="00011798">
        <w:rPr>
          <w:rFonts w:ascii="Arial" w:hAnsi="Arial" w:cs="Arial"/>
          <w:b/>
          <w:color w:val="000000"/>
          <w:sz w:val="24"/>
          <w:szCs w:val="20"/>
          <w:lang w:val="en-GB"/>
        </w:rPr>
        <w:t>-</w:t>
      </w:r>
      <w:r w:rsidR="00F00C61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Ack Feedback </w:t>
      </w:r>
      <w:r w:rsidR="00011798">
        <w:rPr>
          <w:rFonts w:ascii="Arial" w:hAnsi="Arial" w:cs="Arial"/>
          <w:b/>
          <w:color w:val="000000"/>
          <w:sz w:val="24"/>
          <w:szCs w:val="20"/>
          <w:lang w:val="en-GB"/>
        </w:rPr>
        <w:t>M</w:t>
      </w:r>
      <w:r w:rsidR="00F00C61">
        <w:rPr>
          <w:rFonts w:ascii="Arial" w:hAnsi="Arial" w:cs="Arial"/>
          <w:b/>
          <w:color w:val="000000"/>
          <w:sz w:val="24"/>
          <w:szCs w:val="20"/>
          <w:lang w:val="en-GB"/>
        </w:rPr>
        <w:t>echanisms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257F9E84" w:rsidR="00663ABE" w:rsidRPr="003434AE" w:rsidRDefault="00011798" w:rsidP="00011798">
      <w:pPr>
        <w:pStyle w:val="BodyText"/>
      </w:pPr>
      <w:r>
        <w:rPr>
          <w:rFonts w:eastAsia="Malgun Gothic"/>
          <w:lang w:eastAsia="ko-KR"/>
        </w:rPr>
        <w:t>At</w:t>
      </w:r>
      <w:r w:rsidR="008C678C">
        <w:rPr>
          <w:rFonts w:eastAsia="Malgun Gothic"/>
          <w:lang w:eastAsia="ko-KR"/>
        </w:rPr>
        <w:t xml:space="preserve"> the </w:t>
      </w:r>
      <w:r w:rsidR="001D4B77">
        <w:rPr>
          <w:rFonts w:eastAsia="Malgun Gothic"/>
          <w:lang w:eastAsia="ko-KR"/>
        </w:rPr>
        <w:t xml:space="preserve">RAN1 #88 meeting in February </w:t>
      </w:r>
      <w:r w:rsidR="002E45C6">
        <w:rPr>
          <w:rFonts w:eastAsia="Malgun Gothic"/>
          <w:lang w:eastAsia="ko-KR"/>
        </w:rPr>
        <w:t>2017</w:t>
      </w:r>
      <w:r w:rsidR="008C678C">
        <w:rPr>
          <w:rFonts w:eastAsia="Malgun Gothic"/>
          <w:lang w:eastAsia="ko-KR"/>
        </w:rPr>
        <w:t xml:space="preserve">, the following </w:t>
      </w:r>
      <w:r w:rsidR="00373291">
        <w:rPr>
          <w:rFonts w:eastAsia="Malgun Gothic"/>
          <w:lang w:eastAsia="ko-KR"/>
        </w:rPr>
        <w:t xml:space="preserve">working assumption </w:t>
      </w:r>
      <w:r w:rsidR="006E7489">
        <w:rPr>
          <w:rFonts w:eastAsia="Malgun Gothic"/>
          <w:lang w:eastAsia="ko-KR"/>
        </w:rPr>
        <w:t xml:space="preserve">on HARQ-Ack Feedback </w:t>
      </w:r>
      <w:r w:rsidR="00373291">
        <w:rPr>
          <w:rFonts w:eastAsia="Malgun Gothic"/>
          <w:lang w:eastAsia="ko-KR"/>
        </w:rPr>
        <w:t>was</w:t>
      </w:r>
      <w:r w:rsidR="002E45C6">
        <w:rPr>
          <w:rFonts w:eastAsia="Malgun Gothic"/>
          <w:lang w:eastAsia="ko-KR"/>
        </w:rPr>
        <w:t xml:space="preserve"> </w:t>
      </w:r>
      <w:r w:rsidR="006E7489">
        <w:rPr>
          <w:rFonts w:eastAsia="Malgun Gothic"/>
          <w:lang w:eastAsia="ko-KR"/>
        </w:rPr>
        <w:t>proposed</w:t>
      </w:r>
      <w:r w:rsidR="002E45C6">
        <w:rPr>
          <w:rFonts w:eastAsia="Malgun Gothic"/>
          <w:lang w:eastAsia="ko-KR"/>
        </w:rPr>
        <w:t>.</w:t>
      </w:r>
    </w:p>
    <w:p w14:paraId="2A188849" w14:textId="77777777" w:rsidR="00373291" w:rsidRPr="00FA139F" w:rsidRDefault="00373291" w:rsidP="00FA139F">
      <w:pPr>
        <w:numPr>
          <w:ilvl w:val="0"/>
          <w:numId w:val="15"/>
        </w:numPr>
        <w:spacing w:after="120"/>
        <w:rPr>
          <w:rFonts w:eastAsia="MS Mincho"/>
          <w:i/>
          <w:szCs w:val="20"/>
          <w:lang w:eastAsia="ja-JP"/>
        </w:rPr>
      </w:pPr>
      <w:r w:rsidRPr="00FA139F">
        <w:rPr>
          <w:rFonts w:eastAsia="MS Mincho"/>
          <w:i/>
          <w:szCs w:val="20"/>
          <w:lang w:eastAsia="ja-JP"/>
        </w:rPr>
        <w:t>CBG-based transmission with single/multi-bit HARQ-ACK feedback is supported in Rel-15, which shall have the following characteristics:</w:t>
      </w:r>
    </w:p>
    <w:p w14:paraId="0A311AFC" w14:textId="77777777" w:rsidR="00373291" w:rsidRPr="00FA139F" w:rsidRDefault="00373291" w:rsidP="00FA139F">
      <w:pPr>
        <w:numPr>
          <w:ilvl w:val="1"/>
          <w:numId w:val="15"/>
        </w:numPr>
        <w:spacing w:after="120"/>
        <w:rPr>
          <w:rFonts w:eastAsia="MS Mincho"/>
          <w:i/>
          <w:szCs w:val="20"/>
          <w:lang w:eastAsia="ja-JP"/>
        </w:rPr>
      </w:pPr>
      <w:r w:rsidRPr="00FA139F">
        <w:rPr>
          <w:rFonts w:eastAsia="MS Mincho"/>
          <w:i/>
          <w:szCs w:val="20"/>
          <w:lang w:eastAsia="ja-JP"/>
        </w:rPr>
        <w:t>Only allow CBG based (re)-transmission for the same TB of a HARQ process</w:t>
      </w:r>
    </w:p>
    <w:p w14:paraId="18E4ED72" w14:textId="77777777" w:rsidR="00373291" w:rsidRPr="00FA139F" w:rsidRDefault="00373291" w:rsidP="00FA139F">
      <w:pPr>
        <w:numPr>
          <w:ilvl w:val="1"/>
          <w:numId w:val="15"/>
        </w:numPr>
        <w:spacing w:after="120"/>
        <w:rPr>
          <w:rFonts w:eastAsia="MS Mincho"/>
          <w:i/>
          <w:szCs w:val="20"/>
          <w:lang w:eastAsia="ja-JP"/>
        </w:rPr>
      </w:pPr>
      <w:r w:rsidRPr="00FA139F">
        <w:rPr>
          <w:rFonts w:eastAsia="MS Mincho"/>
          <w:i/>
          <w:szCs w:val="20"/>
          <w:lang w:eastAsia="ja-JP"/>
        </w:rPr>
        <w:t>CBG can include all CB of a TB regardle</w:t>
      </w:r>
      <w:bookmarkStart w:id="3" w:name="_GoBack"/>
      <w:bookmarkEnd w:id="3"/>
      <w:r w:rsidRPr="00FA139F">
        <w:rPr>
          <w:rFonts w:eastAsia="MS Mincho"/>
          <w:i/>
          <w:szCs w:val="20"/>
          <w:lang w:eastAsia="ja-JP"/>
        </w:rPr>
        <w:t>ss of the size of the TB – In the such case, UE reports single HARQ ACK bits for the TB</w:t>
      </w:r>
    </w:p>
    <w:p w14:paraId="2175F539" w14:textId="77777777" w:rsidR="00373291" w:rsidRPr="00FA139F" w:rsidRDefault="00373291" w:rsidP="00FA139F">
      <w:pPr>
        <w:numPr>
          <w:ilvl w:val="1"/>
          <w:numId w:val="15"/>
        </w:numPr>
        <w:spacing w:after="120"/>
        <w:rPr>
          <w:rFonts w:eastAsia="MS Mincho"/>
          <w:i/>
          <w:szCs w:val="20"/>
          <w:lang w:eastAsia="ja-JP"/>
        </w:rPr>
      </w:pPr>
      <w:r w:rsidRPr="00FA139F">
        <w:rPr>
          <w:rFonts w:eastAsia="MS Mincho"/>
          <w:i/>
          <w:szCs w:val="20"/>
          <w:lang w:eastAsia="ja-JP"/>
        </w:rPr>
        <w:t>CBG can include one CB</w:t>
      </w:r>
    </w:p>
    <w:p w14:paraId="454D5822" w14:textId="77777777" w:rsidR="00373291" w:rsidRPr="00FA139F" w:rsidRDefault="00373291" w:rsidP="00FA139F">
      <w:pPr>
        <w:numPr>
          <w:ilvl w:val="1"/>
          <w:numId w:val="15"/>
        </w:numPr>
        <w:spacing w:after="120"/>
        <w:rPr>
          <w:rFonts w:eastAsia="MS Mincho"/>
          <w:i/>
          <w:szCs w:val="20"/>
          <w:lang w:eastAsia="ja-JP"/>
        </w:rPr>
      </w:pPr>
      <w:r w:rsidRPr="00FA139F">
        <w:rPr>
          <w:rFonts w:eastAsia="MS Mincho"/>
          <w:i/>
          <w:szCs w:val="20"/>
          <w:lang w:eastAsia="ja-JP"/>
        </w:rPr>
        <w:t>CBG granularity is configurable</w:t>
      </w:r>
    </w:p>
    <w:p w14:paraId="3EDB8269" w14:textId="08E3AA6D" w:rsidR="00332034" w:rsidRDefault="00011798" w:rsidP="00011798">
      <w:pPr>
        <w:pStyle w:val="BodyText"/>
      </w:pPr>
      <w:r>
        <w:t>In this contribution, we discuss design options for HARQ-Ack feedback.</w:t>
      </w:r>
    </w:p>
    <w:p w14:paraId="3EDB826A" w14:textId="59D57C03" w:rsidR="00762DF4" w:rsidRPr="003434AE" w:rsidRDefault="00373291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A/N feedback </w:t>
      </w:r>
      <w:r w:rsidR="00753B63">
        <w:rPr>
          <w:rFonts w:ascii="Arial" w:hAnsi="Arial"/>
          <w:sz w:val="24"/>
          <w:szCs w:val="24"/>
        </w:rPr>
        <w:t>mechanisms</w:t>
      </w:r>
    </w:p>
    <w:p w14:paraId="576F2C05" w14:textId="414D0BCD" w:rsidR="00753B63" w:rsidRDefault="00753B63" w:rsidP="00753B63">
      <w:pPr>
        <w:pStyle w:val="Heading2"/>
      </w:pPr>
      <w:bookmarkStart w:id="4" w:name="_Ref471386577"/>
      <w:r>
        <w:t>Multi-bit A/N resource allocation</w:t>
      </w:r>
    </w:p>
    <w:p w14:paraId="3260B10E" w14:textId="54FD7A74" w:rsidR="00373291" w:rsidRDefault="00373291" w:rsidP="00373291">
      <w:pPr>
        <w:pStyle w:val="BodyText"/>
      </w:pPr>
      <w:r>
        <w:t xml:space="preserve">If CBG based A/N feedback is </w:t>
      </w:r>
      <w:r w:rsidR="00011798">
        <w:t>supported</w:t>
      </w:r>
      <w:r>
        <w:t xml:space="preserve">, appropriate </w:t>
      </w:r>
      <w:r w:rsidR="00011798">
        <w:t xml:space="preserve">UL </w:t>
      </w:r>
      <w:r>
        <w:t>resources for multi-bit A/N feedback</w:t>
      </w:r>
      <w:r w:rsidR="00011798">
        <w:t xml:space="preserve"> must be addressed also</w:t>
      </w:r>
      <w:r>
        <w:t xml:space="preserve">. Below we discuss </w:t>
      </w:r>
      <w:r w:rsidR="00011798">
        <w:t>design options</w:t>
      </w:r>
      <w:r>
        <w:t xml:space="preserve"> to allow multi-bit A/N feedback.</w:t>
      </w:r>
    </w:p>
    <w:p w14:paraId="08CDF591" w14:textId="43974882" w:rsidR="00373291" w:rsidRDefault="00011798" w:rsidP="00373291">
      <w:pPr>
        <w:pStyle w:val="BodyText"/>
        <w:numPr>
          <w:ilvl w:val="0"/>
          <w:numId w:val="16"/>
        </w:numPr>
      </w:pPr>
      <w:r>
        <w:t xml:space="preserve">UL </w:t>
      </w:r>
      <w:r w:rsidR="00373291">
        <w:t xml:space="preserve">A/N resources are </w:t>
      </w:r>
      <w:r w:rsidR="00FA1A1E">
        <w:t xml:space="preserve">allocated </w:t>
      </w:r>
      <w:r w:rsidR="00373291">
        <w:t xml:space="preserve">at different times for </w:t>
      </w:r>
      <w:r>
        <w:t xml:space="preserve">different </w:t>
      </w:r>
      <w:r w:rsidR="00373291">
        <w:t>CBGs</w:t>
      </w:r>
      <w:r>
        <w:t>,</w:t>
      </w:r>
      <w:r w:rsidR="00373291">
        <w:t xml:space="preserve"> as shown in </w:t>
      </w:r>
      <w:r w:rsidR="00373291">
        <w:fldChar w:fldCharType="begin"/>
      </w:r>
      <w:r w:rsidR="00373291">
        <w:instrText xml:space="preserve"> REF _Ref478046436 \h </w:instrText>
      </w:r>
      <w:r w:rsidR="00373291">
        <w:fldChar w:fldCharType="separate"/>
      </w:r>
      <w:r w:rsidR="00E751C4">
        <w:t xml:space="preserve">Figure </w:t>
      </w:r>
      <w:r w:rsidR="00E751C4">
        <w:rPr>
          <w:noProof/>
        </w:rPr>
        <w:t>1</w:t>
      </w:r>
      <w:r w:rsidR="00373291">
        <w:fldChar w:fldCharType="end"/>
      </w:r>
      <w:r w:rsidR="00373291">
        <w:t>A.</w:t>
      </w:r>
      <w:r w:rsidR="00753B63">
        <w:t xml:space="preserve"> Especially </w:t>
      </w:r>
      <w:r>
        <w:t>for</w:t>
      </w:r>
      <w:r w:rsidR="00753B63">
        <w:t xml:space="preserve"> multi-slot aggregated transmissions, such </w:t>
      </w:r>
      <w:r w:rsidR="001E6D54">
        <w:t xml:space="preserve">a </w:t>
      </w:r>
      <w:r w:rsidR="00753B63">
        <w:t xml:space="preserve">feedback </w:t>
      </w:r>
      <w:r w:rsidR="001E6D54">
        <w:t xml:space="preserve">scheme </w:t>
      </w:r>
      <w:r w:rsidR="00753B63">
        <w:t>reduce</w:t>
      </w:r>
      <w:r w:rsidR="001E6D54">
        <w:t>s</w:t>
      </w:r>
      <w:r w:rsidR="00753B63">
        <w:t xml:space="preserve"> the </w:t>
      </w:r>
      <w:r w:rsidR="001E6D54">
        <w:t>retransmission</w:t>
      </w:r>
      <w:r w:rsidR="00753B63">
        <w:t xml:space="preserve"> latency</w:t>
      </w:r>
      <w:r w:rsidR="00FA1A1E">
        <w:t xml:space="preserve"> for CBGs</w:t>
      </w:r>
    </w:p>
    <w:p w14:paraId="5F56FC4B" w14:textId="341701AB" w:rsidR="00373291" w:rsidRDefault="00373291" w:rsidP="00373291">
      <w:pPr>
        <w:pStyle w:val="BodyText"/>
        <w:numPr>
          <w:ilvl w:val="0"/>
          <w:numId w:val="16"/>
        </w:numPr>
      </w:pPr>
      <w:r>
        <w:t xml:space="preserve">Multi-bit A/N resources are </w:t>
      </w:r>
      <w:r w:rsidR="00FA1A1E">
        <w:t xml:space="preserve">allocated only once </w:t>
      </w:r>
      <w:r w:rsidR="00B263BC">
        <w:t>for aggregate</w:t>
      </w:r>
      <w:r w:rsidR="00FA1A1E">
        <w:t>d</w:t>
      </w:r>
      <w:r w:rsidR="00B263BC">
        <w:t xml:space="preserve"> transmission of all the </w:t>
      </w:r>
      <w:r w:rsidR="00FA1A1E">
        <w:t xml:space="preserve">CBG’s </w:t>
      </w:r>
      <w:r w:rsidR="00B263BC">
        <w:t xml:space="preserve">A/N bits of </w:t>
      </w:r>
      <w:r w:rsidR="00FA1A1E">
        <w:t>a TB</w:t>
      </w:r>
      <w:r w:rsidR="00011798">
        <w:t>,</w:t>
      </w:r>
      <w:r w:rsidR="00B263BC">
        <w:t xml:space="preserve"> as shown in </w:t>
      </w:r>
      <w:r w:rsidR="00B263BC">
        <w:fldChar w:fldCharType="begin"/>
      </w:r>
      <w:r w:rsidR="00B263BC">
        <w:instrText xml:space="preserve"> REF _Ref478046436 \h </w:instrText>
      </w:r>
      <w:r w:rsidR="00B263BC">
        <w:fldChar w:fldCharType="separate"/>
      </w:r>
      <w:r w:rsidR="00E751C4">
        <w:t xml:space="preserve">Figure </w:t>
      </w:r>
      <w:r w:rsidR="00E751C4">
        <w:rPr>
          <w:noProof/>
        </w:rPr>
        <w:t>1</w:t>
      </w:r>
      <w:r w:rsidR="00B263BC">
        <w:fldChar w:fldCharType="end"/>
      </w:r>
      <w:r w:rsidR="00B263BC">
        <w:t>B.</w:t>
      </w:r>
      <w:r w:rsidR="00E61A1B">
        <w:t xml:space="preserve"> A one-time resource allocation may be </w:t>
      </w:r>
      <w:r w:rsidR="00FA1A1E">
        <w:t xml:space="preserve">a little </w:t>
      </w:r>
      <w:r w:rsidR="00E61A1B">
        <w:t xml:space="preserve">more efficient </w:t>
      </w:r>
      <w:r w:rsidR="00FA139F">
        <w:t>than scheme</w:t>
      </w:r>
      <w:r w:rsidR="00E61A1B">
        <w:t xml:space="preserve"> </w:t>
      </w:r>
      <w:r w:rsidR="00FA1A1E">
        <w:t>A</w:t>
      </w:r>
      <w:r w:rsidR="00011798">
        <w:t xml:space="preserve"> </w:t>
      </w:r>
      <w:r w:rsidR="00E61A1B">
        <w:t>as the A/N bits can be jointly encoded.</w:t>
      </w:r>
    </w:p>
    <w:p w14:paraId="239D5B56" w14:textId="635ACCAA" w:rsidR="00373291" w:rsidRDefault="00FA1A1E" w:rsidP="00373291">
      <w:pPr>
        <w:pStyle w:val="BodyText"/>
      </w:pPr>
      <w:r>
        <w:object w:dxaOrig="14213" w:dyaOrig="7825" w14:anchorId="1AC81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230.6pt" o:ole="">
            <v:imagedata r:id="rId11" o:title=""/>
          </v:shape>
          <o:OLEObject Type="Embed" ProgID="Visio.Drawing.15" ShapeID="_x0000_i1025" DrawAspect="Content" ObjectID="_1551908273" r:id="rId12"/>
        </w:object>
      </w:r>
    </w:p>
    <w:p w14:paraId="66C5AEB5" w14:textId="06FC4453" w:rsidR="00373291" w:rsidRDefault="00373291" w:rsidP="00373291">
      <w:pPr>
        <w:pStyle w:val="Caption"/>
        <w:jc w:val="center"/>
      </w:pPr>
      <w:bookmarkStart w:id="5" w:name="_Ref478046436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51C4">
        <w:rPr>
          <w:noProof/>
        </w:rPr>
        <w:t>1</w:t>
      </w:r>
      <w:r>
        <w:fldChar w:fldCharType="end"/>
      </w:r>
      <w:bookmarkEnd w:id="5"/>
      <w:r w:rsidR="00E61A1B">
        <w:t xml:space="preserve"> A/N resource allocation</w:t>
      </w:r>
    </w:p>
    <w:p w14:paraId="4AFB1AAF" w14:textId="242A7277" w:rsidR="00F815CD" w:rsidRPr="003A30C0" w:rsidRDefault="00F815CD" w:rsidP="00F815CD">
      <w:pPr>
        <w:pStyle w:val="BodyText"/>
        <w:rPr>
          <w:i/>
        </w:rPr>
      </w:pPr>
      <w:r w:rsidRPr="003A30C0">
        <w:rPr>
          <w:b/>
          <w:i/>
        </w:rPr>
        <w:t xml:space="preserve">Observation 1: </w:t>
      </w:r>
      <w:r>
        <w:rPr>
          <w:b/>
          <w:i/>
        </w:rPr>
        <w:t>Resource allocation for multi-bit A/N impacts latency of retransmission</w:t>
      </w:r>
      <w:r w:rsidR="00FA1A1E">
        <w:rPr>
          <w:b/>
          <w:i/>
        </w:rPr>
        <w:t xml:space="preserve"> CBGs</w:t>
      </w:r>
      <w:r w:rsidRPr="003A30C0">
        <w:rPr>
          <w:b/>
          <w:i/>
        </w:rPr>
        <w:t>.</w:t>
      </w:r>
    </w:p>
    <w:p w14:paraId="141ACAA7" w14:textId="4B94EA9E" w:rsidR="00451DDB" w:rsidRDefault="00753B63" w:rsidP="00451DDB">
      <w:pPr>
        <w:pStyle w:val="Heading2"/>
      </w:pPr>
      <w:r>
        <w:t>Feedback mechanism</w:t>
      </w:r>
    </w:p>
    <w:p w14:paraId="16A688FA" w14:textId="04F65513" w:rsidR="00753B63" w:rsidRDefault="00753B63" w:rsidP="00451DDB">
      <w:pPr>
        <w:pStyle w:val="BodyText"/>
      </w:pPr>
      <w:r>
        <w:t xml:space="preserve">If CBGs are small, more control overhead will be generated on the UL due to the large number of A/N bits. On the other hand, CBGs </w:t>
      </w:r>
      <w:r w:rsidR="006E7489">
        <w:t xml:space="preserve">configured </w:t>
      </w:r>
      <w:r w:rsidR="00923636">
        <w:t xml:space="preserve">with </w:t>
      </w:r>
      <w:r w:rsidR="006E7489">
        <w:t xml:space="preserve">a </w:t>
      </w:r>
      <w:r w:rsidR="00923636">
        <w:t xml:space="preserve">large number of CBs </w:t>
      </w:r>
      <w:r w:rsidR="008769B8">
        <w:t xml:space="preserve">require larger retransmissions on the DL even if only one of the CBs in the CBG fails. </w:t>
      </w:r>
      <w:r w:rsidR="00AB3E48">
        <w:t>T</w:t>
      </w:r>
      <w:r w:rsidR="006E7489">
        <w:t>he t</w:t>
      </w:r>
      <w:r w:rsidR="008769B8">
        <w:t xml:space="preserve">radeoff between </w:t>
      </w:r>
      <w:r w:rsidR="007B3B67">
        <w:t xml:space="preserve">significant DL </w:t>
      </w:r>
      <w:r w:rsidR="008769B8">
        <w:t>retransmission</w:t>
      </w:r>
      <w:r w:rsidR="007B3B67">
        <w:t>s</w:t>
      </w:r>
      <w:r w:rsidR="008769B8">
        <w:t xml:space="preserve"> and large UL A/N </w:t>
      </w:r>
      <w:r w:rsidR="00FA139F">
        <w:t>feedback</w:t>
      </w:r>
      <w:r w:rsidR="008B2CE2">
        <w:t xml:space="preserve"> </w:t>
      </w:r>
      <w:r w:rsidR="006E7489">
        <w:t xml:space="preserve">overhead </w:t>
      </w:r>
      <w:r w:rsidR="00AB3E48">
        <w:t>should be studied for NR</w:t>
      </w:r>
      <w:r w:rsidR="008769B8">
        <w:t>.</w:t>
      </w:r>
    </w:p>
    <w:p w14:paraId="50EAF064" w14:textId="20C4305B" w:rsidR="009A6FE4" w:rsidRDefault="009A6FE4" w:rsidP="00451DDB">
      <w:pPr>
        <w:pStyle w:val="BodyText"/>
      </w:pPr>
      <w:r>
        <w:t>The A/N resources for the CBG may be assigned in one of the following ways:</w:t>
      </w:r>
    </w:p>
    <w:p w14:paraId="409FC9C1" w14:textId="04EC28B3" w:rsidR="009A6FE4" w:rsidRPr="00AB3E48" w:rsidRDefault="00753B63" w:rsidP="00AB3E48">
      <w:pPr>
        <w:pStyle w:val="BodyText"/>
        <w:numPr>
          <w:ilvl w:val="0"/>
          <w:numId w:val="17"/>
        </w:numPr>
      </w:pPr>
      <w:r>
        <w:t>The gNB may configure the number of CBGs and CBs in a CBG at the time of providing the DL grant</w:t>
      </w:r>
      <w:r w:rsidR="00DF0E69">
        <w:t xml:space="preserve"> and receive</w:t>
      </w:r>
      <w:r w:rsidR="00285E47">
        <w:t xml:space="preserve"> 1 A/N bit per CBG </w:t>
      </w:r>
      <w:r w:rsidR="00DF0E69">
        <w:t xml:space="preserve">on appropriate </w:t>
      </w:r>
      <w:r w:rsidR="00285E47">
        <w:t>A/N resources</w:t>
      </w:r>
      <w:r>
        <w:t xml:space="preserve"> </w:t>
      </w:r>
      <w:r w:rsidR="00285E47">
        <w:t>in the UL</w:t>
      </w:r>
      <w:r w:rsidR="00DF0E69">
        <w:t xml:space="preserve"> as </w:t>
      </w:r>
      <w:r w:rsidR="00AB3E48">
        <w:t xml:space="preserve">shown </w:t>
      </w:r>
      <w:r w:rsidR="00DF0E69">
        <w:t xml:space="preserve">in </w:t>
      </w:r>
      <w:r w:rsidR="00DF0E69">
        <w:fldChar w:fldCharType="begin"/>
      </w:r>
      <w:r w:rsidR="00DF0E69">
        <w:instrText xml:space="preserve"> REF _Ref478046436 \h </w:instrText>
      </w:r>
      <w:r w:rsidR="00DF0E69">
        <w:fldChar w:fldCharType="separate"/>
      </w:r>
      <w:r w:rsidR="00E751C4">
        <w:t xml:space="preserve">Figure </w:t>
      </w:r>
      <w:r w:rsidR="00E751C4">
        <w:rPr>
          <w:noProof/>
        </w:rPr>
        <w:t>1</w:t>
      </w:r>
      <w:r w:rsidR="00DF0E69">
        <w:fldChar w:fldCharType="end"/>
      </w:r>
      <w:r w:rsidR="00DF0E69">
        <w:t xml:space="preserve">A and </w:t>
      </w:r>
      <w:r w:rsidR="00DF0E69">
        <w:fldChar w:fldCharType="begin"/>
      </w:r>
      <w:r w:rsidR="00DF0E69">
        <w:instrText xml:space="preserve"> REF _Ref478046436 \h </w:instrText>
      </w:r>
      <w:r w:rsidR="00DF0E69">
        <w:fldChar w:fldCharType="separate"/>
      </w:r>
      <w:r w:rsidR="00E751C4">
        <w:t xml:space="preserve">Figure </w:t>
      </w:r>
      <w:r w:rsidR="00E751C4">
        <w:rPr>
          <w:noProof/>
        </w:rPr>
        <w:t>1</w:t>
      </w:r>
      <w:r w:rsidR="00DF0E69">
        <w:fldChar w:fldCharType="end"/>
      </w:r>
      <w:r w:rsidR="00DF0E69">
        <w:t>B</w:t>
      </w:r>
      <w:r w:rsidR="00285E47">
        <w:t xml:space="preserve">. </w:t>
      </w:r>
      <w:r w:rsidR="00F815CD">
        <w:t>On receiving a Nack, the</w:t>
      </w:r>
      <w:r w:rsidR="00AB3E48">
        <w:t>n</w:t>
      </w:r>
      <w:r w:rsidR="00F815CD">
        <w:t xml:space="preserve"> </w:t>
      </w:r>
      <w:r w:rsidR="00AB3E48">
        <w:t xml:space="preserve">the </w:t>
      </w:r>
      <w:r w:rsidR="00F815CD">
        <w:t>gNB schedules a retransmission for the corresponding CBG</w:t>
      </w:r>
      <w:r w:rsidR="00AB3E48">
        <w:t>(s) instead of the whole TB</w:t>
      </w:r>
      <w:r w:rsidR="00F815CD" w:rsidRPr="00AB3E48">
        <w:t>.</w:t>
      </w:r>
    </w:p>
    <w:p w14:paraId="62DD23C9" w14:textId="72E1FF11" w:rsidR="00451DDB" w:rsidRDefault="009A6FE4" w:rsidP="009A6FE4">
      <w:pPr>
        <w:pStyle w:val="BodyText"/>
        <w:numPr>
          <w:ilvl w:val="0"/>
          <w:numId w:val="17"/>
        </w:numPr>
      </w:pPr>
      <w:r>
        <w:t>T</w:t>
      </w:r>
      <w:r w:rsidR="00285E47">
        <w:t xml:space="preserve">he UE </w:t>
      </w:r>
      <w:r w:rsidR="001D4B77">
        <w:t>first</w:t>
      </w:r>
      <w:r w:rsidR="00285E47">
        <w:t xml:space="preserve"> transmit</w:t>
      </w:r>
      <w:r w:rsidR="001D4B77">
        <w:t>s</w:t>
      </w:r>
      <w:r w:rsidR="00285E47">
        <w:t xml:space="preserve"> a single A/N on receipt of </w:t>
      </w:r>
      <w:r>
        <w:t xml:space="preserve">a </w:t>
      </w:r>
      <w:r w:rsidR="00285E47">
        <w:t xml:space="preserve">TB. If </w:t>
      </w:r>
      <w:r w:rsidR="00953321">
        <w:t>the UE</w:t>
      </w:r>
      <w:r w:rsidR="00285E47">
        <w:t xml:space="preserve"> </w:t>
      </w:r>
      <w:r w:rsidR="00953321">
        <w:t xml:space="preserve">sends </w:t>
      </w:r>
      <w:r w:rsidR="00285E47">
        <w:t xml:space="preserve">a Nack, the gNB may configure it to transmit </w:t>
      </w:r>
      <w:r w:rsidR="00F45404">
        <w:t xml:space="preserve">the corresponding </w:t>
      </w:r>
      <w:r w:rsidR="00285E47">
        <w:t xml:space="preserve">multi-bit A/N </w:t>
      </w:r>
      <w:r w:rsidR="00F45404">
        <w:t>pattern at a finer granularity as shown</w:t>
      </w:r>
      <w:r w:rsidR="00E751C4">
        <w:t xml:space="preserve"> in </w:t>
      </w:r>
      <w:r w:rsidR="00E751C4">
        <w:fldChar w:fldCharType="begin"/>
      </w:r>
      <w:r w:rsidR="00E751C4">
        <w:instrText xml:space="preserve"> REF _Ref478048034 \h </w:instrText>
      </w:r>
      <w:r w:rsidR="00E751C4">
        <w:fldChar w:fldCharType="separate"/>
      </w:r>
      <w:r w:rsidR="00E751C4">
        <w:t xml:space="preserve">Figure </w:t>
      </w:r>
      <w:r w:rsidR="00E751C4">
        <w:rPr>
          <w:noProof/>
        </w:rPr>
        <w:t>2</w:t>
      </w:r>
      <w:r w:rsidR="00E751C4">
        <w:fldChar w:fldCharType="end"/>
      </w:r>
      <w:r w:rsidR="001D4B77">
        <w:t>. Here</w:t>
      </w:r>
      <w:r w:rsidR="00F45404">
        <w:t xml:space="preserve"> </w:t>
      </w:r>
      <w:r w:rsidR="001D4B77">
        <w:t xml:space="preserve">a </w:t>
      </w:r>
      <w:r w:rsidR="00F45404">
        <w:t xml:space="preserve">1-bit A/N resource is initially assigned for </w:t>
      </w:r>
      <w:r w:rsidR="00133E6A">
        <w:t>a TB</w:t>
      </w:r>
      <w:r w:rsidR="00F45404">
        <w:t xml:space="preserve"> </w:t>
      </w:r>
      <w:r w:rsidR="00133E6A">
        <w:t>consisting of 5 CBs</w:t>
      </w:r>
      <w:r w:rsidR="00F45404">
        <w:t xml:space="preserve">. On </w:t>
      </w:r>
      <w:r w:rsidR="001D4B77">
        <w:t>observing</w:t>
      </w:r>
      <w:r w:rsidR="00F45404">
        <w:t xml:space="preserve"> a Nack </w:t>
      </w:r>
      <w:r w:rsidR="001D4B77">
        <w:t>for the TB</w:t>
      </w:r>
      <w:r w:rsidR="00F45404">
        <w:t xml:space="preserve">, </w:t>
      </w:r>
      <w:r w:rsidR="001D4B77">
        <w:t>the UE sends a</w:t>
      </w:r>
      <w:r w:rsidR="00F45404">
        <w:t xml:space="preserve"> </w:t>
      </w:r>
      <w:r w:rsidR="00133E6A">
        <w:t>5</w:t>
      </w:r>
      <w:r w:rsidR="00923636">
        <w:t xml:space="preserve">-bit A/N </w:t>
      </w:r>
      <w:r>
        <w:t>transmission</w:t>
      </w:r>
      <w:r w:rsidR="00923636">
        <w:t xml:space="preserve"> </w:t>
      </w:r>
      <w:r w:rsidR="001D4B77">
        <w:t xml:space="preserve">with </w:t>
      </w:r>
      <w:r>
        <w:t>1 bit per CB</w:t>
      </w:r>
      <w:r w:rsidR="00F45404">
        <w:t xml:space="preserve"> in the </w:t>
      </w:r>
      <w:r w:rsidR="00F815CD">
        <w:t>TB</w:t>
      </w:r>
      <w:r w:rsidR="00923636">
        <w:t xml:space="preserve">. </w:t>
      </w:r>
      <w:r w:rsidR="00133E6A">
        <w:t>However, i</w:t>
      </w:r>
      <w:r w:rsidR="00F45404">
        <w:t xml:space="preserve">f the </w:t>
      </w:r>
      <w:r w:rsidR="00133E6A">
        <w:t xml:space="preserve">TB </w:t>
      </w:r>
      <w:r w:rsidR="00F45404">
        <w:t xml:space="preserve">is Acked, no additional </w:t>
      </w:r>
      <w:r w:rsidR="00923636">
        <w:t xml:space="preserve">multi-bit A/N resources </w:t>
      </w:r>
      <w:r w:rsidR="00133E6A">
        <w:t>are</w:t>
      </w:r>
      <w:r w:rsidR="00F45404">
        <w:t xml:space="preserve"> provided to the </w:t>
      </w:r>
      <w:r w:rsidR="00923636">
        <w:t>UE.</w:t>
      </w:r>
      <w:r w:rsidR="00F45404">
        <w:t xml:space="preserve"> This approach may help to balance the UL </w:t>
      </w:r>
      <w:r w:rsidR="00AB3E48">
        <w:t>A/N</w:t>
      </w:r>
      <w:r w:rsidR="00F45404">
        <w:t xml:space="preserve"> overhead and DL </w:t>
      </w:r>
      <w:r w:rsidR="00792217">
        <w:t xml:space="preserve">CB(s) </w:t>
      </w:r>
      <w:r w:rsidR="00F45404">
        <w:t>retransmissions.</w:t>
      </w:r>
    </w:p>
    <w:p w14:paraId="5D8DEDDE" w14:textId="2E4D6A7B" w:rsidR="009A6FE4" w:rsidRDefault="00792217" w:rsidP="009A6FE4">
      <w:pPr>
        <w:pStyle w:val="BodyText"/>
        <w:jc w:val="center"/>
      </w:pPr>
      <w:r>
        <w:object w:dxaOrig="7203" w:dyaOrig="2825" w14:anchorId="7AE28D52">
          <v:shape id="_x0000_i1026" type="#_x0000_t75" style="width:5in;height:140.85pt" o:ole="">
            <v:imagedata r:id="rId13" o:title=""/>
          </v:shape>
          <o:OLEObject Type="Embed" ProgID="Visio.Drawing.15" ShapeID="_x0000_i1026" DrawAspect="Content" ObjectID="_1551908274" r:id="rId14"/>
        </w:object>
      </w:r>
    </w:p>
    <w:p w14:paraId="700DA49B" w14:textId="5DFD9EB8" w:rsidR="00E751C4" w:rsidRDefault="00E751C4" w:rsidP="00E61A1B">
      <w:pPr>
        <w:pStyle w:val="Caption"/>
        <w:jc w:val="center"/>
      </w:pPr>
      <w:bookmarkStart w:id="6" w:name="_Ref4780480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 w:rsidR="00E61A1B">
        <w:t xml:space="preserve"> Transmission of multi-bit A/N if received TB experience Nack</w:t>
      </w:r>
    </w:p>
    <w:p w14:paraId="296DB834" w14:textId="089CF7B0" w:rsidR="00F815CD" w:rsidRPr="00F815CD" w:rsidRDefault="00F815CD" w:rsidP="00F815CD">
      <w:pPr>
        <w:pStyle w:val="BodyText"/>
        <w:rPr>
          <w:i/>
        </w:rPr>
      </w:pPr>
      <w:r w:rsidRPr="003A30C0">
        <w:rPr>
          <w:b/>
          <w:i/>
        </w:rPr>
        <w:t xml:space="preserve">Observation </w:t>
      </w:r>
      <w:r>
        <w:rPr>
          <w:b/>
          <w:i/>
        </w:rPr>
        <w:t>2</w:t>
      </w:r>
      <w:r w:rsidRPr="003A30C0">
        <w:rPr>
          <w:b/>
          <w:i/>
        </w:rPr>
        <w:t xml:space="preserve">: </w:t>
      </w:r>
      <w:r>
        <w:rPr>
          <w:b/>
          <w:i/>
        </w:rPr>
        <w:t xml:space="preserve">Tradeoff between </w:t>
      </w:r>
      <w:r w:rsidR="00792217">
        <w:rPr>
          <w:b/>
          <w:i/>
        </w:rPr>
        <w:t xml:space="preserve">DL </w:t>
      </w:r>
      <w:r>
        <w:rPr>
          <w:b/>
          <w:i/>
        </w:rPr>
        <w:t>retransmission</w:t>
      </w:r>
      <w:r w:rsidR="00792217">
        <w:rPr>
          <w:b/>
          <w:i/>
        </w:rPr>
        <w:t>s</w:t>
      </w:r>
      <w:r>
        <w:rPr>
          <w:b/>
          <w:i/>
        </w:rPr>
        <w:t xml:space="preserve"> in DL and </w:t>
      </w:r>
      <w:r w:rsidR="00792217">
        <w:rPr>
          <w:b/>
          <w:i/>
        </w:rPr>
        <w:t xml:space="preserve">UL </w:t>
      </w:r>
      <w:r>
        <w:rPr>
          <w:b/>
          <w:i/>
        </w:rPr>
        <w:t>overhead due to multi-bit A/N must be considered carefully when designing a solution for mu</w:t>
      </w:r>
      <w:r w:rsidR="005B4B35">
        <w:rPr>
          <w:b/>
          <w:i/>
        </w:rPr>
        <w:t>l</w:t>
      </w:r>
      <w:r>
        <w:rPr>
          <w:b/>
          <w:i/>
        </w:rPr>
        <w:t xml:space="preserve">ti-bit </w:t>
      </w:r>
      <w:r w:rsidR="005B4B35">
        <w:rPr>
          <w:b/>
          <w:i/>
        </w:rPr>
        <w:t xml:space="preserve">A/N </w:t>
      </w:r>
      <w:r>
        <w:rPr>
          <w:b/>
          <w:i/>
        </w:rPr>
        <w:t>feedback.</w:t>
      </w:r>
    </w:p>
    <w:p w14:paraId="1FC6679E" w14:textId="4BBB2648" w:rsidR="00451DDB" w:rsidRDefault="00E31240" w:rsidP="00451DDB">
      <w:pPr>
        <w:pStyle w:val="Heading2"/>
      </w:pPr>
      <w:r>
        <w:t>CBG configuration</w:t>
      </w:r>
    </w:p>
    <w:p w14:paraId="1981DBFD" w14:textId="7B031AC3" w:rsidR="00451DDB" w:rsidRDefault="00A03C1E" w:rsidP="00451DDB">
      <w:pPr>
        <w:pStyle w:val="BodyText"/>
      </w:pPr>
      <w:r>
        <w:t xml:space="preserve">The composition of the CBGs </w:t>
      </w:r>
      <w:r w:rsidR="00792217">
        <w:t xml:space="preserve">may </w:t>
      </w:r>
      <w:r>
        <w:t xml:space="preserve">be configurable. For example, </w:t>
      </w:r>
      <w:r w:rsidR="001637EF">
        <w:t xml:space="preserve">the CBs in a CBG </w:t>
      </w:r>
      <w:r w:rsidR="00792217">
        <w:t>may</w:t>
      </w:r>
      <w:r w:rsidR="001637EF">
        <w:t xml:space="preserve"> be </w:t>
      </w:r>
      <w:r w:rsidR="006E7489">
        <w:t>non-</w:t>
      </w:r>
      <w:r w:rsidR="001637EF">
        <w:t xml:space="preserve">contiguous. </w:t>
      </w:r>
      <w:r w:rsidR="00E61A1B">
        <w:fldChar w:fldCharType="begin"/>
      </w:r>
      <w:r w:rsidR="00E61A1B">
        <w:instrText xml:space="preserve"> REF _Ref471743926 \h </w:instrText>
      </w:r>
      <w:r w:rsidR="00E61A1B">
        <w:fldChar w:fldCharType="separate"/>
      </w:r>
      <w:r w:rsidR="00E61A1B" w:rsidRPr="00451DDB">
        <w:t xml:space="preserve">Figure </w:t>
      </w:r>
      <w:r w:rsidR="00E61A1B">
        <w:rPr>
          <w:noProof/>
        </w:rPr>
        <w:t>3</w:t>
      </w:r>
      <w:r w:rsidR="00E61A1B">
        <w:fldChar w:fldCharType="end"/>
      </w:r>
      <w:r w:rsidR="00E61A1B">
        <w:t xml:space="preserve"> shows </w:t>
      </w:r>
      <w:r w:rsidR="00B17A72">
        <w:t>a</w:t>
      </w:r>
      <w:r w:rsidR="00792217">
        <w:t>n</w:t>
      </w:r>
      <w:r w:rsidR="00B17A72">
        <w:t xml:space="preserve"> </w:t>
      </w:r>
      <w:r w:rsidR="00792217">
        <w:t>example</w:t>
      </w:r>
      <w:r w:rsidR="00762389">
        <w:t xml:space="preserve"> </w:t>
      </w:r>
      <w:r w:rsidR="006E7489">
        <w:t xml:space="preserve">where the </w:t>
      </w:r>
      <w:r w:rsidR="00B17A72">
        <w:t xml:space="preserve">configuration supporting </w:t>
      </w:r>
      <w:r>
        <w:t xml:space="preserve">multi-bit A/N for at least 2 CBGs </w:t>
      </w:r>
      <w:r w:rsidR="006E7489">
        <w:t>(</w:t>
      </w:r>
      <w:r>
        <w:t>CBG</w:t>
      </w:r>
      <w:r w:rsidR="00B17A72">
        <w:t>#</w:t>
      </w:r>
      <w:r w:rsidR="00762389">
        <w:t xml:space="preserve">2 </w:t>
      </w:r>
      <w:r w:rsidR="00E61A1B">
        <w:t>consisting of CB</w:t>
      </w:r>
      <w:r w:rsidR="00E61A1B" w:rsidRPr="00E61A1B">
        <w:rPr>
          <w:vertAlign w:val="subscript"/>
        </w:rPr>
        <w:t>4</w:t>
      </w:r>
      <w:r w:rsidR="00E61A1B">
        <w:t xml:space="preserve"> and CB</w:t>
      </w:r>
      <w:r w:rsidR="00E61A1B" w:rsidRPr="00E61A1B">
        <w:rPr>
          <w:vertAlign w:val="subscript"/>
        </w:rPr>
        <w:t>5</w:t>
      </w:r>
      <w:r w:rsidR="00E61A1B">
        <w:t xml:space="preserve"> and </w:t>
      </w:r>
      <w:r>
        <w:t>CBG</w:t>
      </w:r>
      <w:r w:rsidR="00B17A72">
        <w:t>#</w:t>
      </w:r>
      <w:r w:rsidR="00762389">
        <w:t xml:space="preserve">1 </w:t>
      </w:r>
      <w:r>
        <w:t>consis</w:t>
      </w:r>
      <w:r w:rsidR="00B17A72">
        <w:t>ting of all other CBs in the TB</w:t>
      </w:r>
      <w:r w:rsidR="006E7489">
        <w:t>)</w:t>
      </w:r>
      <w:r w:rsidR="00B17A72">
        <w:t xml:space="preserve"> would be useful for retransmission. Although this configuration can have latency constraints as CBG#1 cannot send it’s A/N bit until the end of the TB, it minimizes fragmentation of the TB into </w:t>
      </w:r>
      <w:r w:rsidR="00FA3EFB">
        <w:t xml:space="preserve">too many </w:t>
      </w:r>
      <w:r w:rsidR="00B17A72">
        <w:t>CB</w:t>
      </w:r>
      <w:r w:rsidR="00FA3EFB">
        <w:t>G</w:t>
      </w:r>
      <w:r w:rsidR="00B17A72">
        <w:t>s and reduces the A/N overhead.</w:t>
      </w:r>
    </w:p>
    <w:bookmarkEnd w:id="4"/>
    <w:p w14:paraId="7CCFCC5D" w14:textId="77777777" w:rsidR="00451DDB" w:rsidRDefault="00451DDB" w:rsidP="00544CF0">
      <w:pPr>
        <w:pStyle w:val="BodyText"/>
      </w:pPr>
    </w:p>
    <w:p w14:paraId="071524BF" w14:textId="053957F3" w:rsidR="00451DDB" w:rsidRDefault="00FA139F" w:rsidP="00451DDB">
      <w:pPr>
        <w:pStyle w:val="BodyText"/>
        <w:jc w:val="center"/>
      </w:pPr>
      <w:r>
        <w:object w:dxaOrig="7266" w:dyaOrig="2489" w14:anchorId="79D7887D">
          <v:shape id="_x0000_i1027" type="#_x0000_t75" style="width:318.8pt;height:109.05pt" o:ole="">
            <v:imagedata r:id="rId15" o:title=""/>
          </v:shape>
          <o:OLEObject Type="Embed" ProgID="Visio.Drawing.15" ShapeID="_x0000_i1027" DrawAspect="Content" ObjectID="_1551908275" r:id="rId16"/>
        </w:object>
      </w:r>
    </w:p>
    <w:p w14:paraId="7C80AD2C" w14:textId="069B0C77" w:rsidR="00451DDB" w:rsidRPr="00451DDB" w:rsidRDefault="00451DDB" w:rsidP="00451DDB">
      <w:pPr>
        <w:pStyle w:val="Caption"/>
        <w:jc w:val="center"/>
        <w:rPr>
          <w:sz w:val="20"/>
        </w:rPr>
      </w:pPr>
      <w:bookmarkStart w:id="7" w:name="_Ref471743926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E751C4">
        <w:rPr>
          <w:noProof/>
          <w:sz w:val="20"/>
        </w:rPr>
        <w:t>3</w:t>
      </w:r>
      <w:r w:rsidRPr="00451DDB">
        <w:rPr>
          <w:sz w:val="20"/>
        </w:rPr>
        <w:fldChar w:fldCharType="end"/>
      </w:r>
      <w:bookmarkEnd w:id="7"/>
      <w:r w:rsidRPr="00451DDB">
        <w:rPr>
          <w:sz w:val="20"/>
        </w:rPr>
        <w:t xml:space="preserve"> </w:t>
      </w:r>
      <w:r w:rsidR="00FE1216">
        <w:rPr>
          <w:sz w:val="20"/>
        </w:rPr>
        <w:t>CBG configuration with discontiguous CBs</w:t>
      </w:r>
    </w:p>
    <w:p w14:paraId="35D20241" w14:textId="3389A50A" w:rsidR="00451DDB" w:rsidRDefault="00451DDB" w:rsidP="00544CF0">
      <w:pPr>
        <w:pStyle w:val="BodyText"/>
      </w:pPr>
    </w:p>
    <w:p w14:paraId="12AAA207" w14:textId="3E577084" w:rsidR="002E2CF8" w:rsidRDefault="00F815CD" w:rsidP="00544CF0">
      <w:pPr>
        <w:pStyle w:val="BodyText"/>
      </w:pPr>
      <w:r w:rsidRPr="003A30C0">
        <w:rPr>
          <w:b/>
          <w:i/>
        </w:rPr>
        <w:t xml:space="preserve">Observation </w:t>
      </w:r>
      <w:r>
        <w:rPr>
          <w:b/>
          <w:i/>
        </w:rPr>
        <w:t>3</w:t>
      </w:r>
      <w:r w:rsidRPr="003A30C0">
        <w:rPr>
          <w:b/>
          <w:i/>
        </w:rPr>
        <w:t>:</w:t>
      </w:r>
      <w:r>
        <w:rPr>
          <w:b/>
          <w:i/>
        </w:rPr>
        <w:t xml:space="preserve"> Flexibility in assigning number of CBs and sequence of CBs is useful to support different use cases such as preemption.</w:t>
      </w:r>
    </w:p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76944F52" w14:textId="69D4E930" w:rsidR="00795E83" w:rsidRPr="00795E83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795E83">
        <w:rPr>
          <w:rFonts w:eastAsia="MS Mincho"/>
        </w:rPr>
        <w:t xml:space="preserve">In this contribution, we </w:t>
      </w:r>
      <w:r w:rsidR="00F815CD">
        <w:rPr>
          <w:rFonts w:eastAsia="MS Mincho"/>
        </w:rPr>
        <w:t>make the following observations on HARQ</w:t>
      </w:r>
      <w:r w:rsidR="00762389">
        <w:rPr>
          <w:rFonts w:eastAsia="MS Mincho"/>
        </w:rPr>
        <w:t>-Ack</w:t>
      </w:r>
      <w:r w:rsidR="00F815CD">
        <w:rPr>
          <w:rFonts w:eastAsia="MS Mincho"/>
        </w:rPr>
        <w:t xml:space="preserve"> feedbac</w:t>
      </w:r>
      <w:r w:rsidR="00762389">
        <w:rPr>
          <w:rFonts w:eastAsia="MS Mincho"/>
        </w:rPr>
        <w:t>k</w:t>
      </w:r>
      <w:r w:rsidR="00F815CD">
        <w:rPr>
          <w:rFonts w:eastAsia="MS Mincho"/>
        </w:rPr>
        <w:t xml:space="preserve"> mechanisms</w:t>
      </w:r>
    </w:p>
    <w:p w14:paraId="47610A90" w14:textId="77777777" w:rsidR="00E507A2" w:rsidRPr="00762389" w:rsidRDefault="00E507A2" w:rsidP="00E507A2">
      <w:pPr>
        <w:pStyle w:val="BodyText"/>
        <w:rPr>
          <w:i/>
        </w:rPr>
      </w:pPr>
      <w:r w:rsidRPr="003A30C0">
        <w:rPr>
          <w:b/>
          <w:i/>
        </w:rPr>
        <w:t xml:space="preserve">Observation 1: </w:t>
      </w:r>
      <w:r w:rsidRPr="00762389">
        <w:rPr>
          <w:i/>
        </w:rPr>
        <w:t>Resource allocation for multi-bit A/N impacts latency of retransmission.</w:t>
      </w:r>
    </w:p>
    <w:p w14:paraId="70DEFFAA" w14:textId="2802B9F2" w:rsidR="00E507A2" w:rsidRPr="00F815CD" w:rsidRDefault="00E507A2" w:rsidP="00E507A2">
      <w:pPr>
        <w:pStyle w:val="BodyText"/>
        <w:rPr>
          <w:i/>
        </w:rPr>
      </w:pPr>
      <w:r w:rsidRPr="003A30C0">
        <w:rPr>
          <w:b/>
          <w:i/>
        </w:rPr>
        <w:t xml:space="preserve">Observation </w:t>
      </w:r>
      <w:r>
        <w:rPr>
          <w:b/>
          <w:i/>
        </w:rPr>
        <w:t>2</w:t>
      </w:r>
      <w:r w:rsidRPr="003A30C0">
        <w:rPr>
          <w:b/>
          <w:i/>
        </w:rPr>
        <w:t xml:space="preserve">: </w:t>
      </w:r>
      <w:r w:rsidRPr="00FA139F">
        <w:rPr>
          <w:i/>
        </w:rPr>
        <w:t xml:space="preserve">Tradeoff between retransmission resources in DL and </w:t>
      </w:r>
      <w:r w:rsidR="00762389" w:rsidRPr="00FA139F">
        <w:rPr>
          <w:i/>
        </w:rPr>
        <w:t xml:space="preserve">UL </w:t>
      </w:r>
      <w:r w:rsidRPr="00FA139F">
        <w:rPr>
          <w:i/>
        </w:rPr>
        <w:t>overhead due to multi-bit A/N must be considered carefully when designing a solution for mu</w:t>
      </w:r>
      <w:r w:rsidR="005B4B35" w:rsidRPr="00FA139F">
        <w:rPr>
          <w:i/>
        </w:rPr>
        <w:t>l</w:t>
      </w:r>
      <w:r w:rsidRPr="00FA139F">
        <w:rPr>
          <w:i/>
        </w:rPr>
        <w:t xml:space="preserve">ti-bit </w:t>
      </w:r>
      <w:r w:rsidR="005B4B35" w:rsidRPr="00FA139F">
        <w:rPr>
          <w:i/>
        </w:rPr>
        <w:t xml:space="preserve">A/N </w:t>
      </w:r>
      <w:r w:rsidRPr="00FA139F">
        <w:rPr>
          <w:i/>
        </w:rPr>
        <w:t>feedback.</w:t>
      </w:r>
    </w:p>
    <w:p w14:paraId="3576A3DB" w14:textId="77777777" w:rsidR="00F815CD" w:rsidRDefault="00F815CD" w:rsidP="00F815CD">
      <w:pPr>
        <w:pStyle w:val="BodyText"/>
      </w:pPr>
      <w:r w:rsidRPr="003A30C0">
        <w:rPr>
          <w:b/>
          <w:i/>
        </w:rPr>
        <w:t xml:space="preserve">Observation </w:t>
      </w:r>
      <w:r>
        <w:rPr>
          <w:b/>
          <w:i/>
        </w:rPr>
        <w:t>3</w:t>
      </w:r>
      <w:r w:rsidRPr="003A30C0">
        <w:rPr>
          <w:b/>
          <w:i/>
        </w:rPr>
        <w:t>:</w:t>
      </w:r>
      <w:r>
        <w:rPr>
          <w:b/>
          <w:i/>
        </w:rPr>
        <w:t xml:space="preserve"> </w:t>
      </w:r>
      <w:r w:rsidRPr="00FA139F">
        <w:rPr>
          <w:i/>
        </w:rPr>
        <w:t>Flexibility in assigning number of CBs and sequence of CBs is useful to support different use cases such as preemption.</w:t>
      </w:r>
    </w:p>
    <w:p w14:paraId="55C5CB5A" w14:textId="77777777" w:rsidR="00451DDB" w:rsidRDefault="00451DDB" w:rsidP="00EF59E3">
      <w:pPr>
        <w:pStyle w:val="BodyText"/>
        <w:rPr>
          <w:b/>
        </w:rPr>
      </w:pPr>
    </w:p>
    <w:p w14:paraId="3EDB8280" w14:textId="77777777" w:rsidR="009D2775" w:rsidRPr="009D2775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9D2775">
        <w:rPr>
          <w:rFonts w:ascii="Arial" w:hAnsi="Arial" w:cs="Arial" w:hint="eastAsia"/>
          <w:b/>
          <w:sz w:val="24"/>
        </w:rPr>
        <w:t>4</w:t>
      </w:r>
      <w:r w:rsidRPr="009D2775">
        <w:rPr>
          <w:rFonts w:ascii="Arial" w:hAnsi="Arial" w:cs="Arial"/>
          <w:b/>
          <w:sz w:val="24"/>
        </w:rPr>
        <w:t xml:space="preserve">. </w:t>
      </w:r>
      <w:r w:rsidRPr="009D2775">
        <w:rPr>
          <w:rFonts w:ascii="Arial" w:hAnsi="Arial" w:cs="Arial" w:hint="eastAsia"/>
          <w:b/>
          <w:sz w:val="24"/>
        </w:rPr>
        <w:t>Reference</w:t>
      </w:r>
      <w:r>
        <w:rPr>
          <w:rFonts w:ascii="Arial" w:hAnsi="Arial" w:cs="Arial"/>
          <w:b/>
          <w:sz w:val="24"/>
        </w:rPr>
        <w:t>s</w:t>
      </w:r>
    </w:p>
    <w:p w14:paraId="3EDB8281" w14:textId="0BA434C9" w:rsidR="009D2775" w:rsidRPr="00F815CD" w:rsidRDefault="009D2775" w:rsidP="009D2775">
      <w:pPr>
        <w:pStyle w:val="iReference"/>
        <w:numPr>
          <w:ilvl w:val="0"/>
          <w:numId w:val="7"/>
        </w:numPr>
        <w:spacing w:before="0" w:after="0"/>
        <w:rPr>
          <w:rFonts w:ascii="Times New Roman" w:hAnsi="Times New Roman" w:cs="Times New Roman"/>
          <w:color w:val="000000" w:themeColor="text1"/>
          <w:sz w:val="20"/>
        </w:rPr>
      </w:pPr>
      <w:bookmarkStart w:id="8" w:name="_Ref466016400"/>
      <w:r w:rsidRPr="00F815CD">
        <w:rPr>
          <w:rFonts w:ascii="Times New Roman" w:eastAsia="PMingLiU" w:hAnsi="Times New Roman" w:cs="Times New Roman"/>
          <w:color w:val="000000" w:themeColor="text1"/>
          <w:sz w:val="20"/>
        </w:rPr>
        <w:t>RAN1 Chairman’s Notes, 3GPP TSG RAN WG1 Meeting #8</w:t>
      </w:r>
      <w:r w:rsidR="00F815CD" w:rsidRPr="00F815CD">
        <w:rPr>
          <w:rFonts w:ascii="Times New Roman" w:eastAsia="PMingLiU" w:hAnsi="Times New Roman" w:cs="Times New Roman"/>
          <w:color w:val="000000" w:themeColor="text1"/>
          <w:sz w:val="20"/>
        </w:rPr>
        <w:t>8</w:t>
      </w:r>
      <w:r w:rsidRPr="00F815CD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F815CD" w:rsidRPr="00F815CD">
        <w:rPr>
          <w:rFonts w:ascii="Times New Roman" w:eastAsia="PMingLiU" w:hAnsi="Times New Roman" w:cs="Times New Roman"/>
          <w:color w:val="000000" w:themeColor="text1"/>
          <w:sz w:val="20"/>
        </w:rPr>
        <w:t>Spokane</w:t>
      </w:r>
      <w:r w:rsidRPr="00F815CD">
        <w:rPr>
          <w:rFonts w:ascii="Times New Roman" w:eastAsia="PMingLiU" w:hAnsi="Times New Roman" w:cs="Times New Roman"/>
          <w:color w:val="000000" w:themeColor="text1"/>
          <w:sz w:val="20"/>
        </w:rPr>
        <w:t xml:space="preserve">, USA, </w:t>
      </w:r>
      <w:r w:rsidR="00F815CD" w:rsidRPr="00F815CD">
        <w:rPr>
          <w:rFonts w:ascii="Times New Roman" w:eastAsia="PMingLiU" w:hAnsi="Times New Roman" w:cs="Times New Roman"/>
          <w:color w:val="000000" w:themeColor="text1"/>
          <w:sz w:val="20"/>
        </w:rPr>
        <w:t>February</w:t>
      </w:r>
      <w:r w:rsidRPr="00F815CD">
        <w:rPr>
          <w:rFonts w:ascii="Times New Roman" w:eastAsia="PMingLiU" w:hAnsi="Times New Roman" w:cs="Times New Roman"/>
          <w:color w:val="000000" w:themeColor="text1"/>
          <w:sz w:val="20"/>
        </w:rPr>
        <w:t xml:space="preserve"> 201</w:t>
      </w:r>
      <w:r w:rsidR="00762389">
        <w:rPr>
          <w:rFonts w:ascii="Times New Roman" w:eastAsia="PMingLiU" w:hAnsi="Times New Roman" w:cs="Times New Roman"/>
          <w:color w:val="000000" w:themeColor="text1"/>
          <w:sz w:val="20"/>
        </w:rPr>
        <w:t>7</w:t>
      </w:r>
      <w:bookmarkEnd w:id="8"/>
    </w:p>
    <w:p w14:paraId="3EDB8282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B8285" w14:textId="77777777" w:rsidR="00271963" w:rsidRDefault="00271963">
      <w:r>
        <w:separator/>
      </w:r>
    </w:p>
  </w:endnote>
  <w:endnote w:type="continuationSeparator" w:id="0">
    <w:p w14:paraId="3EDB8286" w14:textId="77777777" w:rsidR="00271963" w:rsidRDefault="0027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B8283" w14:textId="77777777" w:rsidR="00271963" w:rsidRDefault="00271963">
      <w:r>
        <w:separator/>
      </w:r>
    </w:p>
  </w:footnote>
  <w:footnote w:type="continuationSeparator" w:id="0">
    <w:p w14:paraId="3EDB8284" w14:textId="77777777" w:rsidR="00271963" w:rsidRDefault="00271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20D8"/>
    <w:multiLevelType w:val="hybridMultilevel"/>
    <w:tmpl w:val="7DAA84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6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A0DDE"/>
    <w:multiLevelType w:val="hybridMultilevel"/>
    <w:tmpl w:val="9DD6B0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5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0"/>
  </w:num>
  <w:num w:numId="12">
    <w:abstractNumId w:val="1"/>
  </w:num>
  <w:num w:numId="13">
    <w:abstractNumId w:val="12"/>
  </w:num>
  <w:num w:numId="14">
    <w:abstractNumId w:val="10"/>
  </w:num>
  <w:num w:numId="15">
    <w:abstractNumId w:val="2"/>
  </w:num>
  <w:num w:numId="16">
    <w:abstractNumId w:val="4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bordersDoNotSurroundHeader/>
  <w:bordersDoNotSurroundFooter/>
  <w:hideSpellingErrors/>
  <w:hideGrammaticalErrors/>
  <w:proofState w:grammar="clean"/>
  <w:defaultTabStop w:val="1304"/>
  <w:hyphenationZone w:val="425"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1798"/>
    <w:rsid w:val="000217F8"/>
    <w:rsid w:val="00037C51"/>
    <w:rsid w:val="0004251E"/>
    <w:rsid w:val="00053CDC"/>
    <w:rsid w:val="00056F8C"/>
    <w:rsid w:val="000756DD"/>
    <w:rsid w:val="0009038A"/>
    <w:rsid w:val="00091D03"/>
    <w:rsid w:val="000944E4"/>
    <w:rsid w:val="000A258F"/>
    <w:rsid w:val="000B3C07"/>
    <w:rsid w:val="000C0387"/>
    <w:rsid w:val="000F2D9E"/>
    <w:rsid w:val="000F600A"/>
    <w:rsid w:val="0010025E"/>
    <w:rsid w:val="001018DF"/>
    <w:rsid w:val="001027FF"/>
    <w:rsid w:val="00112E18"/>
    <w:rsid w:val="00114B6A"/>
    <w:rsid w:val="00124A17"/>
    <w:rsid w:val="00133E6A"/>
    <w:rsid w:val="001379C7"/>
    <w:rsid w:val="00141448"/>
    <w:rsid w:val="00142260"/>
    <w:rsid w:val="001637EF"/>
    <w:rsid w:val="001672C0"/>
    <w:rsid w:val="00172B27"/>
    <w:rsid w:val="00175D32"/>
    <w:rsid w:val="00191E60"/>
    <w:rsid w:val="001A579A"/>
    <w:rsid w:val="001B4110"/>
    <w:rsid w:val="001C5CE9"/>
    <w:rsid w:val="001D4B77"/>
    <w:rsid w:val="001D5808"/>
    <w:rsid w:val="001E6D54"/>
    <w:rsid w:val="001F0AB8"/>
    <w:rsid w:val="002029F5"/>
    <w:rsid w:val="00205AF2"/>
    <w:rsid w:val="00210105"/>
    <w:rsid w:val="0021013F"/>
    <w:rsid w:val="00214784"/>
    <w:rsid w:val="002348F8"/>
    <w:rsid w:val="0025528F"/>
    <w:rsid w:val="0025780D"/>
    <w:rsid w:val="00267343"/>
    <w:rsid w:val="00271963"/>
    <w:rsid w:val="002854A8"/>
    <w:rsid w:val="00285E47"/>
    <w:rsid w:val="00290099"/>
    <w:rsid w:val="002B1A3A"/>
    <w:rsid w:val="002B5439"/>
    <w:rsid w:val="002C0453"/>
    <w:rsid w:val="002C3A4F"/>
    <w:rsid w:val="002D0AB6"/>
    <w:rsid w:val="002D4817"/>
    <w:rsid w:val="002E2CF8"/>
    <w:rsid w:val="002E45C6"/>
    <w:rsid w:val="002E6A70"/>
    <w:rsid w:val="002F12FE"/>
    <w:rsid w:val="00304706"/>
    <w:rsid w:val="0031422F"/>
    <w:rsid w:val="0032050A"/>
    <w:rsid w:val="00332034"/>
    <w:rsid w:val="003434AE"/>
    <w:rsid w:val="00343A18"/>
    <w:rsid w:val="00350180"/>
    <w:rsid w:val="00361CA8"/>
    <w:rsid w:val="00363390"/>
    <w:rsid w:val="0036695F"/>
    <w:rsid w:val="00373291"/>
    <w:rsid w:val="00374D59"/>
    <w:rsid w:val="003875A3"/>
    <w:rsid w:val="003A30C0"/>
    <w:rsid w:val="003A3E47"/>
    <w:rsid w:val="003A618F"/>
    <w:rsid w:val="003A6FB3"/>
    <w:rsid w:val="003C4C5C"/>
    <w:rsid w:val="003D2B14"/>
    <w:rsid w:val="003E44B8"/>
    <w:rsid w:val="003F03A0"/>
    <w:rsid w:val="003F2649"/>
    <w:rsid w:val="004067C0"/>
    <w:rsid w:val="00411152"/>
    <w:rsid w:val="00420A12"/>
    <w:rsid w:val="00422F7B"/>
    <w:rsid w:val="00426280"/>
    <w:rsid w:val="00437ACB"/>
    <w:rsid w:val="00451DDB"/>
    <w:rsid w:val="0045465A"/>
    <w:rsid w:val="00476EDB"/>
    <w:rsid w:val="00477D0C"/>
    <w:rsid w:val="004837C7"/>
    <w:rsid w:val="00485D21"/>
    <w:rsid w:val="00492A78"/>
    <w:rsid w:val="00497805"/>
    <w:rsid w:val="004B57FD"/>
    <w:rsid w:val="004B5A03"/>
    <w:rsid w:val="004C321E"/>
    <w:rsid w:val="004C3D6F"/>
    <w:rsid w:val="004C4387"/>
    <w:rsid w:val="004D4629"/>
    <w:rsid w:val="004D7360"/>
    <w:rsid w:val="004E70DB"/>
    <w:rsid w:val="005043EA"/>
    <w:rsid w:val="00511453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80D67"/>
    <w:rsid w:val="00587AD2"/>
    <w:rsid w:val="00594C69"/>
    <w:rsid w:val="005A2873"/>
    <w:rsid w:val="005B4B35"/>
    <w:rsid w:val="005C14F1"/>
    <w:rsid w:val="005C439D"/>
    <w:rsid w:val="005C5D2C"/>
    <w:rsid w:val="005D4E03"/>
    <w:rsid w:val="005D67F9"/>
    <w:rsid w:val="005E2125"/>
    <w:rsid w:val="005F57CF"/>
    <w:rsid w:val="0060203F"/>
    <w:rsid w:val="0061336B"/>
    <w:rsid w:val="0062673F"/>
    <w:rsid w:val="006348C5"/>
    <w:rsid w:val="00636F01"/>
    <w:rsid w:val="0064164A"/>
    <w:rsid w:val="00643A16"/>
    <w:rsid w:val="00647C59"/>
    <w:rsid w:val="00663ABE"/>
    <w:rsid w:val="006657F0"/>
    <w:rsid w:val="00665E2A"/>
    <w:rsid w:val="00670FD9"/>
    <w:rsid w:val="00686DC8"/>
    <w:rsid w:val="00690D10"/>
    <w:rsid w:val="006A286A"/>
    <w:rsid w:val="006A3129"/>
    <w:rsid w:val="006B0E49"/>
    <w:rsid w:val="006B271B"/>
    <w:rsid w:val="006E0D45"/>
    <w:rsid w:val="006E7489"/>
    <w:rsid w:val="006F5B72"/>
    <w:rsid w:val="006F7196"/>
    <w:rsid w:val="00726A12"/>
    <w:rsid w:val="00741E68"/>
    <w:rsid w:val="00744D73"/>
    <w:rsid w:val="007506C7"/>
    <w:rsid w:val="0075384C"/>
    <w:rsid w:val="00753B63"/>
    <w:rsid w:val="007569CA"/>
    <w:rsid w:val="00762389"/>
    <w:rsid w:val="00762DF4"/>
    <w:rsid w:val="00763378"/>
    <w:rsid w:val="0076348D"/>
    <w:rsid w:val="00765485"/>
    <w:rsid w:val="00776930"/>
    <w:rsid w:val="00780CB9"/>
    <w:rsid w:val="00792217"/>
    <w:rsid w:val="00795E83"/>
    <w:rsid w:val="007A01C0"/>
    <w:rsid w:val="007B3B67"/>
    <w:rsid w:val="007B6C73"/>
    <w:rsid w:val="007D6A2A"/>
    <w:rsid w:val="007E2C96"/>
    <w:rsid w:val="007E4F90"/>
    <w:rsid w:val="007E61B1"/>
    <w:rsid w:val="007F0CB5"/>
    <w:rsid w:val="007F3F65"/>
    <w:rsid w:val="00801F02"/>
    <w:rsid w:val="008043CE"/>
    <w:rsid w:val="00814351"/>
    <w:rsid w:val="00815566"/>
    <w:rsid w:val="008302A2"/>
    <w:rsid w:val="0083401B"/>
    <w:rsid w:val="00834DE7"/>
    <w:rsid w:val="0083689E"/>
    <w:rsid w:val="00841BE8"/>
    <w:rsid w:val="00843FE9"/>
    <w:rsid w:val="00846D5F"/>
    <w:rsid w:val="00853804"/>
    <w:rsid w:val="00854EA0"/>
    <w:rsid w:val="0086087F"/>
    <w:rsid w:val="008739DF"/>
    <w:rsid w:val="008769B8"/>
    <w:rsid w:val="00890BBA"/>
    <w:rsid w:val="008978CA"/>
    <w:rsid w:val="008A062C"/>
    <w:rsid w:val="008A0B64"/>
    <w:rsid w:val="008A23AB"/>
    <w:rsid w:val="008A2D92"/>
    <w:rsid w:val="008A3AF2"/>
    <w:rsid w:val="008B1B81"/>
    <w:rsid w:val="008B23D4"/>
    <w:rsid w:val="008B2CE2"/>
    <w:rsid w:val="008B38BA"/>
    <w:rsid w:val="008C678C"/>
    <w:rsid w:val="008D11D9"/>
    <w:rsid w:val="008E1DF2"/>
    <w:rsid w:val="008E31D2"/>
    <w:rsid w:val="008E51B4"/>
    <w:rsid w:val="008E6A2B"/>
    <w:rsid w:val="008E7AA2"/>
    <w:rsid w:val="008F1739"/>
    <w:rsid w:val="008F77A7"/>
    <w:rsid w:val="0091488F"/>
    <w:rsid w:val="00923335"/>
    <w:rsid w:val="00923636"/>
    <w:rsid w:val="0094723D"/>
    <w:rsid w:val="00953321"/>
    <w:rsid w:val="0096027F"/>
    <w:rsid w:val="00961E14"/>
    <w:rsid w:val="0097151C"/>
    <w:rsid w:val="00973F8C"/>
    <w:rsid w:val="0097401A"/>
    <w:rsid w:val="00977B9E"/>
    <w:rsid w:val="0098312C"/>
    <w:rsid w:val="009837D0"/>
    <w:rsid w:val="009A3751"/>
    <w:rsid w:val="009A6BB8"/>
    <w:rsid w:val="009A6FE4"/>
    <w:rsid w:val="009B2E48"/>
    <w:rsid w:val="009B6504"/>
    <w:rsid w:val="009C0DAC"/>
    <w:rsid w:val="009C60EA"/>
    <w:rsid w:val="009D0238"/>
    <w:rsid w:val="009D2775"/>
    <w:rsid w:val="009D3405"/>
    <w:rsid w:val="009E70EF"/>
    <w:rsid w:val="009F0F87"/>
    <w:rsid w:val="009F4079"/>
    <w:rsid w:val="00A02D77"/>
    <w:rsid w:val="00A03C1E"/>
    <w:rsid w:val="00A04388"/>
    <w:rsid w:val="00A12E54"/>
    <w:rsid w:val="00A150D3"/>
    <w:rsid w:val="00A3059E"/>
    <w:rsid w:val="00A37001"/>
    <w:rsid w:val="00A41E84"/>
    <w:rsid w:val="00A443E1"/>
    <w:rsid w:val="00A47015"/>
    <w:rsid w:val="00A62D4A"/>
    <w:rsid w:val="00A71CE0"/>
    <w:rsid w:val="00A7428A"/>
    <w:rsid w:val="00A757B8"/>
    <w:rsid w:val="00A75D04"/>
    <w:rsid w:val="00A808F6"/>
    <w:rsid w:val="00A81AA1"/>
    <w:rsid w:val="00A81EFF"/>
    <w:rsid w:val="00A85E54"/>
    <w:rsid w:val="00AA0A42"/>
    <w:rsid w:val="00AA13EF"/>
    <w:rsid w:val="00AB3E48"/>
    <w:rsid w:val="00AB6372"/>
    <w:rsid w:val="00AC1B85"/>
    <w:rsid w:val="00AC2A5F"/>
    <w:rsid w:val="00AE1F3B"/>
    <w:rsid w:val="00AE3947"/>
    <w:rsid w:val="00AE7A97"/>
    <w:rsid w:val="00AF25FC"/>
    <w:rsid w:val="00AF3065"/>
    <w:rsid w:val="00B00FDB"/>
    <w:rsid w:val="00B07F76"/>
    <w:rsid w:val="00B1012B"/>
    <w:rsid w:val="00B17A72"/>
    <w:rsid w:val="00B263BC"/>
    <w:rsid w:val="00B34FDB"/>
    <w:rsid w:val="00B368D9"/>
    <w:rsid w:val="00B42E25"/>
    <w:rsid w:val="00B52C5F"/>
    <w:rsid w:val="00B5516A"/>
    <w:rsid w:val="00B73A0F"/>
    <w:rsid w:val="00B85DCB"/>
    <w:rsid w:val="00B97B18"/>
    <w:rsid w:val="00BA2CDD"/>
    <w:rsid w:val="00BA3D9B"/>
    <w:rsid w:val="00BA610E"/>
    <w:rsid w:val="00BA76BC"/>
    <w:rsid w:val="00BF7E13"/>
    <w:rsid w:val="00C054CF"/>
    <w:rsid w:val="00C073DB"/>
    <w:rsid w:val="00C13452"/>
    <w:rsid w:val="00C1560A"/>
    <w:rsid w:val="00C27CDE"/>
    <w:rsid w:val="00C326A6"/>
    <w:rsid w:val="00C37AFA"/>
    <w:rsid w:val="00C50B3C"/>
    <w:rsid w:val="00C5382A"/>
    <w:rsid w:val="00C55346"/>
    <w:rsid w:val="00C55487"/>
    <w:rsid w:val="00C61496"/>
    <w:rsid w:val="00C65F53"/>
    <w:rsid w:val="00C71D38"/>
    <w:rsid w:val="00C72219"/>
    <w:rsid w:val="00C7500D"/>
    <w:rsid w:val="00C93774"/>
    <w:rsid w:val="00CA15E0"/>
    <w:rsid w:val="00CB05D3"/>
    <w:rsid w:val="00CB4D3D"/>
    <w:rsid w:val="00CD49CB"/>
    <w:rsid w:val="00CD645D"/>
    <w:rsid w:val="00CE02E7"/>
    <w:rsid w:val="00CE28B2"/>
    <w:rsid w:val="00CE4E11"/>
    <w:rsid w:val="00CF1A1E"/>
    <w:rsid w:val="00CF2225"/>
    <w:rsid w:val="00CF4115"/>
    <w:rsid w:val="00CF4799"/>
    <w:rsid w:val="00CF590C"/>
    <w:rsid w:val="00CF67BE"/>
    <w:rsid w:val="00CF7534"/>
    <w:rsid w:val="00D02349"/>
    <w:rsid w:val="00D03119"/>
    <w:rsid w:val="00D04257"/>
    <w:rsid w:val="00D11960"/>
    <w:rsid w:val="00D21900"/>
    <w:rsid w:val="00D251A6"/>
    <w:rsid w:val="00D338CE"/>
    <w:rsid w:val="00D350E3"/>
    <w:rsid w:val="00D423AA"/>
    <w:rsid w:val="00D516DD"/>
    <w:rsid w:val="00D53812"/>
    <w:rsid w:val="00D63209"/>
    <w:rsid w:val="00D701A0"/>
    <w:rsid w:val="00D707C4"/>
    <w:rsid w:val="00D83B62"/>
    <w:rsid w:val="00D95F2B"/>
    <w:rsid w:val="00DA110D"/>
    <w:rsid w:val="00DA5433"/>
    <w:rsid w:val="00DB3401"/>
    <w:rsid w:val="00DB3BC8"/>
    <w:rsid w:val="00DC0015"/>
    <w:rsid w:val="00DC085D"/>
    <w:rsid w:val="00DD1935"/>
    <w:rsid w:val="00DD4245"/>
    <w:rsid w:val="00DD4937"/>
    <w:rsid w:val="00DE3421"/>
    <w:rsid w:val="00DE63BC"/>
    <w:rsid w:val="00DF0E69"/>
    <w:rsid w:val="00DF3AD7"/>
    <w:rsid w:val="00DF6135"/>
    <w:rsid w:val="00DF71DB"/>
    <w:rsid w:val="00DF762C"/>
    <w:rsid w:val="00E0407B"/>
    <w:rsid w:val="00E13BDA"/>
    <w:rsid w:val="00E220C0"/>
    <w:rsid w:val="00E2409D"/>
    <w:rsid w:val="00E253D6"/>
    <w:rsid w:val="00E30E59"/>
    <w:rsid w:val="00E31041"/>
    <w:rsid w:val="00E31240"/>
    <w:rsid w:val="00E44D5A"/>
    <w:rsid w:val="00E45EB0"/>
    <w:rsid w:val="00E507A2"/>
    <w:rsid w:val="00E51BC6"/>
    <w:rsid w:val="00E57CED"/>
    <w:rsid w:val="00E61A1B"/>
    <w:rsid w:val="00E63D88"/>
    <w:rsid w:val="00E662DC"/>
    <w:rsid w:val="00E751C4"/>
    <w:rsid w:val="00E75AED"/>
    <w:rsid w:val="00E83054"/>
    <w:rsid w:val="00E87ACF"/>
    <w:rsid w:val="00EA08C2"/>
    <w:rsid w:val="00EA148A"/>
    <w:rsid w:val="00EA172F"/>
    <w:rsid w:val="00EA1984"/>
    <w:rsid w:val="00EB1F5C"/>
    <w:rsid w:val="00EB47E4"/>
    <w:rsid w:val="00EB49BA"/>
    <w:rsid w:val="00EC61BE"/>
    <w:rsid w:val="00EC76D4"/>
    <w:rsid w:val="00EC79B7"/>
    <w:rsid w:val="00ED1133"/>
    <w:rsid w:val="00EE478D"/>
    <w:rsid w:val="00EF59E3"/>
    <w:rsid w:val="00F00C61"/>
    <w:rsid w:val="00F0587F"/>
    <w:rsid w:val="00F11DCE"/>
    <w:rsid w:val="00F21365"/>
    <w:rsid w:val="00F272D4"/>
    <w:rsid w:val="00F311C8"/>
    <w:rsid w:val="00F37D49"/>
    <w:rsid w:val="00F4190F"/>
    <w:rsid w:val="00F4203B"/>
    <w:rsid w:val="00F45404"/>
    <w:rsid w:val="00F47068"/>
    <w:rsid w:val="00F51EB4"/>
    <w:rsid w:val="00F65F44"/>
    <w:rsid w:val="00F7062A"/>
    <w:rsid w:val="00F74F61"/>
    <w:rsid w:val="00F815CD"/>
    <w:rsid w:val="00F91D52"/>
    <w:rsid w:val="00FA139F"/>
    <w:rsid w:val="00FA1A1E"/>
    <w:rsid w:val="00FA3EFB"/>
    <w:rsid w:val="00FB04C4"/>
    <w:rsid w:val="00FB1B57"/>
    <w:rsid w:val="00FD462E"/>
    <w:rsid w:val="00FD4D0F"/>
    <w:rsid w:val="00FD6BED"/>
    <w:rsid w:val="00FE1216"/>
    <w:rsid w:val="00FE304E"/>
    <w:rsid w:val="00FE5799"/>
    <w:rsid w:val="00FE6E6F"/>
    <w:rsid w:val="00FE76A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0A6CC-77C8-4643-8023-38446C2E3CBE}">
  <ds:schemaRefs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CC30618-A728-4017-8E2A-BC4BD84F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2017-03-25T04:48:00Z</dcterms:created>
  <dcterms:modified xsi:type="dcterms:W3CDTF">2017-03-25T04:48:00Z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